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556" w:rsidRDefault="00A20C99" w:rsidP="000930F5">
      <w:pPr>
        <w:spacing w:line="480" w:lineRule="auto"/>
        <w:rPr>
          <w:rFonts w:ascii="Times New Roman" w:hAnsi="Times New Roman" w:cs="Times New Roman"/>
          <w:sz w:val="24"/>
          <w:szCs w:val="24"/>
        </w:rPr>
      </w:pPr>
      <w:r>
        <w:rPr>
          <w:rFonts w:ascii="Times New Roman" w:hAnsi="Times New Roman" w:cs="Times New Roman"/>
          <w:sz w:val="24"/>
          <w:szCs w:val="24"/>
        </w:rPr>
        <w:t>Efficacy, Safety and Immunologi</w:t>
      </w:r>
      <w:r w:rsidR="0047199D">
        <w:rPr>
          <w:rFonts w:ascii="Times New Roman" w:hAnsi="Times New Roman" w:cs="Times New Roman"/>
          <w:sz w:val="24"/>
          <w:szCs w:val="24"/>
        </w:rPr>
        <w:t xml:space="preserve">cal changes of Oral Immunotherapy </w:t>
      </w:r>
      <w:r w:rsidR="00951730">
        <w:rPr>
          <w:rFonts w:ascii="Times New Roman" w:hAnsi="Times New Roman" w:cs="Times New Roman"/>
          <w:sz w:val="24"/>
          <w:szCs w:val="24"/>
        </w:rPr>
        <w:t xml:space="preserve">for baked and unheated milk </w:t>
      </w:r>
      <w:r w:rsidR="000930F5">
        <w:rPr>
          <w:rFonts w:ascii="Times New Roman" w:hAnsi="Times New Roman" w:cs="Times New Roman"/>
          <w:sz w:val="24"/>
          <w:szCs w:val="24"/>
        </w:rPr>
        <w:t xml:space="preserve">allergy and the impact of baked diets (egg and milk) on IgE and Non-IgE Mediated allergy. </w:t>
      </w:r>
    </w:p>
    <w:p w:rsidR="009A5556" w:rsidRDefault="009A5556" w:rsidP="009A555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A5556" w:rsidRDefault="009A5556" w:rsidP="009A55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A5556" w:rsidRDefault="009A5556" w:rsidP="009A5556">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9A5556" w:rsidRDefault="009A5556" w:rsidP="00E725C7">
      <w:pPr>
        <w:spacing w:line="480" w:lineRule="auto"/>
        <w:rPr>
          <w:rFonts w:ascii="Times New Roman" w:hAnsi="Times New Roman" w:cs="Times New Roman"/>
          <w:sz w:val="24"/>
          <w:szCs w:val="24"/>
        </w:rPr>
      </w:pPr>
    </w:p>
    <w:p w:rsidR="009A5556" w:rsidRDefault="009A5556" w:rsidP="00E725C7">
      <w:pPr>
        <w:spacing w:line="480" w:lineRule="auto"/>
        <w:rPr>
          <w:rFonts w:ascii="Times New Roman" w:hAnsi="Times New Roman" w:cs="Times New Roman"/>
          <w:sz w:val="24"/>
          <w:szCs w:val="24"/>
        </w:rPr>
      </w:pPr>
    </w:p>
    <w:p w:rsidR="009A5556" w:rsidRDefault="009A5556" w:rsidP="00E725C7">
      <w:pPr>
        <w:spacing w:line="480" w:lineRule="auto"/>
        <w:rPr>
          <w:rFonts w:ascii="Times New Roman" w:hAnsi="Times New Roman" w:cs="Times New Roman"/>
          <w:sz w:val="24"/>
          <w:szCs w:val="24"/>
        </w:rPr>
      </w:pPr>
    </w:p>
    <w:p w:rsidR="009A5556" w:rsidRDefault="009A5556" w:rsidP="00E725C7">
      <w:pPr>
        <w:spacing w:line="480" w:lineRule="auto"/>
        <w:rPr>
          <w:rFonts w:ascii="Times New Roman" w:hAnsi="Times New Roman" w:cs="Times New Roman"/>
          <w:sz w:val="24"/>
          <w:szCs w:val="24"/>
        </w:rPr>
      </w:pPr>
    </w:p>
    <w:p w:rsidR="009A5556" w:rsidRDefault="009A5556" w:rsidP="00E725C7">
      <w:pPr>
        <w:spacing w:line="480" w:lineRule="auto"/>
        <w:rPr>
          <w:rFonts w:ascii="Times New Roman" w:hAnsi="Times New Roman" w:cs="Times New Roman"/>
          <w:sz w:val="24"/>
          <w:szCs w:val="24"/>
        </w:rPr>
      </w:pPr>
    </w:p>
    <w:p w:rsidR="009A5556" w:rsidRDefault="009A5556" w:rsidP="00E725C7">
      <w:pPr>
        <w:spacing w:line="480" w:lineRule="auto"/>
        <w:rPr>
          <w:rFonts w:ascii="Times New Roman" w:hAnsi="Times New Roman" w:cs="Times New Roman"/>
          <w:sz w:val="24"/>
          <w:szCs w:val="24"/>
        </w:rPr>
      </w:pPr>
    </w:p>
    <w:p w:rsidR="009A5556" w:rsidRDefault="009A5556" w:rsidP="00E725C7">
      <w:pPr>
        <w:spacing w:line="480" w:lineRule="auto"/>
        <w:rPr>
          <w:rFonts w:ascii="Times New Roman" w:hAnsi="Times New Roman" w:cs="Times New Roman"/>
          <w:sz w:val="24"/>
          <w:szCs w:val="24"/>
        </w:rPr>
      </w:pPr>
    </w:p>
    <w:p w:rsidR="009A5556" w:rsidRDefault="009A5556" w:rsidP="00E725C7">
      <w:pPr>
        <w:spacing w:line="480" w:lineRule="auto"/>
        <w:rPr>
          <w:rFonts w:ascii="Times New Roman" w:hAnsi="Times New Roman" w:cs="Times New Roman"/>
          <w:sz w:val="24"/>
          <w:szCs w:val="24"/>
        </w:rPr>
      </w:pPr>
    </w:p>
    <w:p w:rsidR="009A5556" w:rsidRDefault="009A5556" w:rsidP="00E725C7">
      <w:pPr>
        <w:spacing w:line="480" w:lineRule="auto"/>
        <w:rPr>
          <w:rFonts w:ascii="Times New Roman" w:hAnsi="Times New Roman" w:cs="Times New Roman"/>
          <w:sz w:val="24"/>
          <w:szCs w:val="24"/>
        </w:rPr>
      </w:pPr>
    </w:p>
    <w:p w:rsidR="009A5556" w:rsidRDefault="009A5556" w:rsidP="00E725C7">
      <w:pPr>
        <w:spacing w:line="480" w:lineRule="auto"/>
        <w:rPr>
          <w:rFonts w:ascii="Times New Roman" w:hAnsi="Times New Roman" w:cs="Times New Roman"/>
          <w:sz w:val="24"/>
          <w:szCs w:val="24"/>
        </w:rPr>
      </w:pPr>
    </w:p>
    <w:p w:rsidR="009A5556" w:rsidRDefault="009A5556" w:rsidP="00E725C7">
      <w:pPr>
        <w:spacing w:line="480" w:lineRule="auto"/>
        <w:rPr>
          <w:rFonts w:ascii="Times New Roman" w:hAnsi="Times New Roman" w:cs="Times New Roman"/>
          <w:sz w:val="24"/>
          <w:szCs w:val="24"/>
        </w:rPr>
      </w:pPr>
    </w:p>
    <w:p w:rsidR="009A5556" w:rsidRDefault="009A5556" w:rsidP="00E725C7">
      <w:pPr>
        <w:spacing w:line="480" w:lineRule="auto"/>
        <w:rPr>
          <w:rFonts w:ascii="Times New Roman" w:hAnsi="Times New Roman" w:cs="Times New Roman"/>
          <w:sz w:val="24"/>
          <w:szCs w:val="24"/>
        </w:rPr>
      </w:pPr>
    </w:p>
    <w:p w:rsidR="009A5556" w:rsidRDefault="009A5556" w:rsidP="00E725C7">
      <w:pPr>
        <w:spacing w:line="480" w:lineRule="auto"/>
        <w:rPr>
          <w:rFonts w:ascii="Times New Roman" w:hAnsi="Times New Roman" w:cs="Times New Roman"/>
          <w:sz w:val="24"/>
          <w:szCs w:val="24"/>
        </w:rPr>
      </w:pPr>
    </w:p>
    <w:p w:rsidR="00261328" w:rsidRPr="00E725C7" w:rsidRDefault="00261328"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Abstract</w:t>
      </w:r>
    </w:p>
    <w:p w:rsidR="00261328" w:rsidRPr="00E725C7" w:rsidRDefault="00261328"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Patients, who experience immunoglobulin E (IgE) which is a result of allergy in the milk from cows and are sensitive to baked milk, maybe desensitized with baked milk to encourage resistance to unheated milk. Allergy to the milk from a cow is a major allergy that affects young children and interferes with the lives of the patients. Avoiding these allergies may be difficult for it is common to make mistakes. New strategies of treating allergies such as oral immunotherapy have therefore been introduced. Baked milk and baked eggs are being widely used to manage milk and egg allergies instead of the avoidance method. This article sought to examine whether baked milk reactive patients can manage baked milk immunotherapy and be desensitized to unheated milk, the efficacy and safety of oral immunotherapy as well as the impacts of baked diets ( baked milk and baked eggs) on the immunoglobulin E and Non-immunoglobulin E – mediated allergy. </w:t>
      </w:r>
    </w:p>
    <w:p w:rsidR="0011722E" w:rsidRDefault="0011722E" w:rsidP="00E725C7">
      <w:pPr>
        <w:spacing w:line="480" w:lineRule="auto"/>
        <w:rPr>
          <w:rFonts w:ascii="Times New Roman" w:hAnsi="Times New Roman" w:cs="Times New Roman"/>
          <w:sz w:val="24"/>
          <w:szCs w:val="24"/>
        </w:rPr>
      </w:pPr>
    </w:p>
    <w:p w:rsidR="0011722E" w:rsidRDefault="0011722E" w:rsidP="00E725C7">
      <w:pPr>
        <w:spacing w:line="480" w:lineRule="auto"/>
        <w:rPr>
          <w:rFonts w:ascii="Times New Roman" w:hAnsi="Times New Roman" w:cs="Times New Roman"/>
          <w:sz w:val="24"/>
          <w:szCs w:val="24"/>
        </w:rPr>
      </w:pPr>
    </w:p>
    <w:p w:rsidR="0011722E" w:rsidRDefault="0011722E" w:rsidP="00E725C7">
      <w:pPr>
        <w:spacing w:line="480" w:lineRule="auto"/>
        <w:rPr>
          <w:rFonts w:ascii="Times New Roman" w:hAnsi="Times New Roman" w:cs="Times New Roman"/>
          <w:sz w:val="24"/>
          <w:szCs w:val="24"/>
        </w:rPr>
      </w:pPr>
    </w:p>
    <w:p w:rsidR="0011722E" w:rsidRDefault="0011722E" w:rsidP="00E725C7">
      <w:pPr>
        <w:spacing w:line="480" w:lineRule="auto"/>
        <w:rPr>
          <w:rFonts w:ascii="Times New Roman" w:hAnsi="Times New Roman" w:cs="Times New Roman"/>
          <w:sz w:val="24"/>
          <w:szCs w:val="24"/>
        </w:rPr>
      </w:pPr>
    </w:p>
    <w:p w:rsidR="0011722E" w:rsidRDefault="0011722E" w:rsidP="00E725C7">
      <w:pPr>
        <w:spacing w:line="480" w:lineRule="auto"/>
        <w:rPr>
          <w:rFonts w:ascii="Times New Roman" w:hAnsi="Times New Roman" w:cs="Times New Roman"/>
          <w:sz w:val="24"/>
          <w:szCs w:val="24"/>
        </w:rPr>
      </w:pPr>
    </w:p>
    <w:p w:rsidR="0011722E" w:rsidRDefault="0011722E" w:rsidP="00E725C7">
      <w:pPr>
        <w:spacing w:line="480" w:lineRule="auto"/>
        <w:rPr>
          <w:rFonts w:ascii="Times New Roman" w:hAnsi="Times New Roman" w:cs="Times New Roman"/>
          <w:sz w:val="24"/>
          <w:szCs w:val="24"/>
        </w:rPr>
      </w:pPr>
    </w:p>
    <w:p w:rsidR="0011722E" w:rsidRDefault="0011722E" w:rsidP="00E725C7">
      <w:pPr>
        <w:spacing w:line="480" w:lineRule="auto"/>
        <w:rPr>
          <w:rFonts w:ascii="Times New Roman" w:hAnsi="Times New Roman" w:cs="Times New Roman"/>
          <w:sz w:val="24"/>
          <w:szCs w:val="24"/>
        </w:rPr>
      </w:pPr>
    </w:p>
    <w:p w:rsidR="0011722E" w:rsidRDefault="0011722E" w:rsidP="00E725C7">
      <w:pPr>
        <w:spacing w:line="480" w:lineRule="auto"/>
        <w:rPr>
          <w:rFonts w:ascii="Times New Roman" w:hAnsi="Times New Roman" w:cs="Times New Roman"/>
          <w:sz w:val="24"/>
          <w:szCs w:val="24"/>
        </w:rPr>
      </w:pPr>
    </w:p>
    <w:p w:rsidR="00261328" w:rsidRPr="00E725C7" w:rsidRDefault="00261328"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Introduction</w:t>
      </w:r>
    </w:p>
    <w:p w:rsidR="00261328" w:rsidRPr="00E725C7" w:rsidRDefault="00261328"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Allergies to certain foods for children have increased and have resulted in fatalities and anaphylaxis. In Japan studies show that 10% of infants were prevalent to food allergy, 5% were early childhood and 1.3% were school-going children. The rates of anaphylaxis in the United States were 1.6%, 0.3%- 0.6% in Japan, and 0.3% in Europe. Food allergy is an event that results from a specific immune response. Food allergy prevalence has been increasing affecting 2% to 3% of adults and 6% of children.  Food allergy can be treated by eliminating the food causing the allergy. Oral immunotherapy has proved to be safe and efficient in food allergy treatment. Allergy from cow's milk is the second most common after the egg's allergy.</w:t>
      </w:r>
    </w:p>
    <w:p w:rsidR="00261328" w:rsidRPr="00E725C7" w:rsidRDefault="00261328"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Allergies to milk and eggs are major childhood allergies. Milk and eggs are present in most of the foods eaten by children making it difficult to prevent allergies. Children who are allergic to milk and egg can eat the baked forms of milk and egg and experience no allergic reaction. BM and BE diets are recommended for clinical use to manage egg and milk allergies. Cow's milk and hen's egg are the commonest types of allergies in pediatrics. Their prevalence is noted to have increased in the previous 2 decades. These allergies may continue to adulthood. Most of the allergic patients have tolerated the baked form of the products. The aim of utilizing egg and milk in the baked forms is to reduce the allergenicity. Mixing milk or eggs with other products such as sugar or fat creates a matrix in the epitopes reducing their exposure to the immune system.</w:t>
      </w:r>
    </w:p>
    <w:p w:rsidR="00261328" w:rsidRPr="00E725C7" w:rsidRDefault="00261328"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Oral immunotherapy has recently been used in curing patients who are immunoglobulin E from a food allergy and has been proved to desensitize most of the patients in randomized and observational controlled trials. Oral immunotherapy has adverse reactions despite its success. For example, in an oral immunotherapy program conducted in Israel, 61.5% of the patients made it to </w:t>
      </w:r>
      <w:r w:rsidRPr="00E725C7">
        <w:rPr>
          <w:rFonts w:ascii="Times New Roman" w:hAnsi="Times New Roman" w:cs="Times New Roman"/>
          <w:sz w:val="24"/>
          <w:szCs w:val="24"/>
        </w:rPr>
        <w:lastRenderedPageBreak/>
        <w:t>fully consume proteins from the cow's milk while 24% made it up to limited levels. 15% of half the number of the remaining patients who failed to make it for the treatment was because of immunoglobulin E reactivity. The high reactivity was also witnessed in different studies and this has brought concern in the risks associated with these kinds of programs</w:t>
      </w:r>
    </w:p>
    <w:p w:rsidR="00261328" w:rsidRPr="00E725C7" w:rsidRDefault="00261328"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Methods</w:t>
      </w:r>
    </w:p>
    <w:p w:rsidR="00261328" w:rsidRPr="00E725C7" w:rsidRDefault="00261328"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The first study was carried out in a referral center of food allergy in the Allergy, Pulmonary, and Immunology department of the Assaf Harofeh Medical center. All patients signed the consent forms and the protocol of conducting research was authorized by the review board of the medical center. Selection criteria involved patients aged 4 years and above and who had not completed the previous program due to IgE mediated reactions. Patients were at the beginning given escalating doses of 3, 15, 25, 60, and 120 mg of baked milk at intervals of 30 minutes to decide on the starting dose.</w:t>
      </w:r>
    </w:p>
    <w:p w:rsidR="00261328" w:rsidRPr="00E725C7" w:rsidRDefault="00261328"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For the preparation of the BM dose, low-fat dried milk powder which contained 1g of milk protein was used. The heated milk was prepared non-fat dry milk powder was used. Skin prick tests were performed at the beginning of the baked milk oral immunotherapy. Blood from patients was taken and diluted. CPM and milk K- casein obtained from semi-purified bovine were mixed with buffer.  Mann-Whitney U test was used to compare patients at the beginning and the end of 12 months.                                                                                                                    </w:t>
      </w:r>
    </w:p>
    <w:p w:rsidR="00261328" w:rsidRPr="00E725C7" w:rsidRDefault="00261328"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For the second study, a guiding protocol was designed to help in the selection of studies. Random controlled trials were conducted. Children of age zero years and eight years with IgE-mediated cow's milk allergy were selected as the study population.  Methods used for the search included electronic search and manual search. Other methods used in the search included </w:t>
      </w:r>
      <w:r w:rsidRPr="00E725C7">
        <w:rPr>
          <w:rFonts w:ascii="Times New Roman" w:hAnsi="Times New Roman" w:cs="Times New Roman"/>
          <w:sz w:val="24"/>
          <w:szCs w:val="24"/>
        </w:rPr>
        <w:lastRenderedPageBreak/>
        <w:t>contacting the authors who performed food allergy studies.  Data were collected from the selected sources in terms of inclusion, participants, methodological quality objectives, and the exclusion criteria. In the calculation of heterogeneity for milk tolerance, a random effect model was used. In the analysis of the data, meta-analysis methods were used.</w:t>
      </w:r>
    </w:p>
    <w:p w:rsidR="00261328" w:rsidRPr="00E725C7" w:rsidRDefault="00261328"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In the third study, patients with IgE-mediated milk allergy and egg allergy were exposed to an oral food challenge with the baked forms of milk and egg. The skin prick test was used to predict tolerance in the baked egg. The skin testing was conducted to the standard procedure by professionals.  Laboratory testing was also conducted to determine those who can tolerate baked products. Milk and egg are heated to alter their allergenicity. </w:t>
      </w:r>
    </w:p>
    <w:p w:rsidR="005677B9" w:rsidRPr="00E725C7" w:rsidRDefault="005677B9"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Results</w:t>
      </w:r>
    </w:p>
    <w:p w:rsidR="005677B9" w:rsidRPr="00E725C7" w:rsidRDefault="00892F0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The results fo</w:t>
      </w:r>
      <w:r w:rsidR="00D44D0E" w:rsidRPr="00E725C7">
        <w:rPr>
          <w:rFonts w:ascii="Times New Roman" w:hAnsi="Times New Roman" w:cs="Times New Roman"/>
          <w:sz w:val="24"/>
          <w:szCs w:val="24"/>
        </w:rPr>
        <w:t xml:space="preserve">r the first study were </w:t>
      </w:r>
      <w:r w:rsidR="009E77E5" w:rsidRPr="00E725C7">
        <w:rPr>
          <w:rFonts w:ascii="Times New Roman" w:hAnsi="Times New Roman" w:cs="Times New Roman"/>
          <w:sz w:val="24"/>
          <w:szCs w:val="24"/>
        </w:rPr>
        <w:t>summarized</w:t>
      </w:r>
      <w:r w:rsidRPr="00E725C7">
        <w:rPr>
          <w:rFonts w:ascii="Times New Roman" w:hAnsi="Times New Roman" w:cs="Times New Roman"/>
          <w:sz w:val="24"/>
          <w:szCs w:val="24"/>
        </w:rPr>
        <w:t xml:space="preserve"> as per the table below. </w:t>
      </w:r>
    </w:p>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Table one: summary of oral food challenge data and disposition in BM OIT</w:t>
      </w:r>
    </w:p>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u w:val="single"/>
        </w:rPr>
        <w:t>Oral food challenge UM ED (mg)</w:t>
      </w:r>
      <w:r w:rsidRPr="00E725C7">
        <w:rPr>
          <w:rFonts w:ascii="Times New Roman" w:hAnsi="Times New Roman" w:cs="Times New Roman"/>
          <w:sz w:val="24"/>
          <w:szCs w:val="24"/>
        </w:rPr>
        <w:t xml:space="preserve">                                                        </w:t>
      </w:r>
      <w:r w:rsidRPr="00E725C7">
        <w:rPr>
          <w:rFonts w:ascii="Times New Roman" w:hAnsi="Times New Roman" w:cs="Times New Roman"/>
          <w:sz w:val="24"/>
          <w:szCs w:val="24"/>
          <w:u w:val="single"/>
        </w:rPr>
        <w:t xml:space="preserve">Baked milk immunotherapy     </w:t>
      </w:r>
    </w:p>
    <w:tbl>
      <w:tblPr>
        <w:tblStyle w:val="TableGrid"/>
        <w:tblW w:w="0" w:type="auto"/>
        <w:tblLook w:val="04A0" w:firstRow="1" w:lastRow="0" w:firstColumn="1" w:lastColumn="0" w:noHBand="0" w:noVBand="1"/>
      </w:tblPr>
      <w:tblGrid>
        <w:gridCol w:w="693"/>
        <w:gridCol w:w="627"/>
        <w:gridCol w:w="551"/>
        <w:gridCol w:w="608"/>
        <w:gridCol w:w="617"/>
        <w:gridCol w:w="474"/>
        <w:gridCol w:w="474"/>
        <w:gridCol w:w="571"/>
        <w:gridCol w:w="780"/>
        <w:gridCol w:w="828"/>
        <w:gridCol w:w="981"/>
        <w:gridCol w:w="1277"/>
        <w:gridCol w:w="1095"/>
      </w:tblGrid>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Patient </w:t>
            </w:r>
          </w:p>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No.</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Sex</w:t>
            </w:r>
          </w:p>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(M/F)</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Age</w:t>
            </w:r>
          </w:p>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(mo)</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SPT to</w:t>
            </w:r>
          </w:p>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CMP</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T initial</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T 0</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T 6</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T12</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Fold increase T 12/T 0</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Reaction dose (mg)</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Reaction description</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Epinephrine use (intramuscular)</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Disposition </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79</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15/25</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2,4</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No</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IgE-fail T0</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M</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13</w:t>
            </w:r>
            <w:r w:rsidRPr="00E725C7">
              <w:rPr>
                <w:rFonts w:ascii="Times New Roman" w:hAnsi="Times New Roman" w:cs="Times New Roman"/>
                <w:sz w:val="24"/>
                <w:szCs w:val="24"/>
              </w:rPr>
              <w:lastRenderedPageBreak/>
              <w:t>0</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13/</w:t>
            </w:r>
            <w:r w:rsidRPr="00E725C7">
              <w:rPr>
                <w:rFonts w:ascii="Times New Roman" w:hAnsi="Times New Roman" w:cs="Times New Roman"/>
                <w:sz w:val="24"/>
                <w:szCs w:val="24"/>
              </w:rPr>
              <w:lastRenderedPageBreak/>
              <w:t>22</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30</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No</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IgE-fail </w:t>
            </w:r>
            <w:r w:rsidRPr="00E725C7">
              <w:rPr>
                <w:rFonts w:ascii="Times New Roman" w:hAnsi="Times New Roman" w:cs="Times New Roman"/>
                <w:sz w:val="24"/>
                <w:szCs w:val="24"/>
              </w:rPr>
              <w:lastRenderedPageBreak/>
              <w:t>T0</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3</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M</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110</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10/17</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Fail-other-psych</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92</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8/35</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21</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120</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2,4</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+(Home)</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IgE-fail</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5</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102</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10/12</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120</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3,4</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+(Induct)</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IgE-fail</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114</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7/12</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60</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120</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No</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Fail-other-asthma exacerbation</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7</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153</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7/35</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120</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No</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Fail-other-relocation</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8</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78</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9/22</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90</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&gt;480</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&gt;40</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60</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2,4</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No</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1.3 g of BM</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9</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M</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145</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7/30</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60</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480</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&gt;900</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&gt;15</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720</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No</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1.3 g of BM</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10</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134</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8/10</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120</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480</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40</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120</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No</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IgE- fail</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11</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M</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90</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14/20</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480</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80</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120</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No</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IgE-fail</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M</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143</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6/18</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60</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90</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7.5</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120</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+(Home)</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IgE-fail</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13</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132</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5/18</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45</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120</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720</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16</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270</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No</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1.3 g of BM</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14</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M</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117</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4/7</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240</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240</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270</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No</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IgE-fail</w:t>
            </w:r>
          </w:p>
        </w:tc>
      </w:tr>
      <w:tr w:rsidR="00955C9B" w:rsidRPr="00E725C7" w:rsidTr="00F259F8">
        <w:tc>
          <w:tcPr>
            <w:tcW w:w="70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w:t>
            </w:r>
          </w:p>
        </w:tc>
        <w:tc>
          <w:tcPr>
            <w:tcW w:w="607"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w:t>
            </w:r>
          </w:p>
        </w:tc>
        <w:tc>
          <w:tcPr>
            <w:tcW w:w="54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96</w:t>
            </w:r>
          </w:p>
        </w:tc>
        <w:tc>
          <w:tcPr>
            <w:tcW w:w="625"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5/9</w:t>
            </w:r>
          </w:p>
        </w:tc>
        <w:tc>
          <w:tcPr>
            <w:tcW w:w="59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47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480</w:t>
            </w:r>
          </w:p>
        </w:tc>
        <w:tc>
          <w:tcPr>
            <w:tcW w:w="560"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1800</w:t>
            </w:r>
          </w:p>
        </w:tc>
        <w:tc>
          <w:tcPr>
            <w:tcW w:w="791"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60</w:t>
            </w:r>
          </w:p>
        </w:tc>
        <w:tc>
          <w:tcPr>
            <w:tcW w:w="819"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w:t>
            </w:r>
          </w:p>
        </w:tc>
        <w:tc>
          <w:tcPr>
            <w:tcW w:w="988"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w:t>
            </w:r>
          </w:p>
        </w:tc>
        <w:tc>
          <w:tcPr>
            <w:tcW w:w="1273"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No</w:t>
            </w:r>
          </w:p>
        </w:tc>
        <w:tc>
          <w:tcPr>
            <w:tcW w:w="1114" w:type="dxa"/>
          </w:tcPr>
          <w:p w:rsidR="00955C9B" w:rsidRPr="00E725C7" w:rsidRDefault="00955C9B"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1.3 g of BM</w:t>
            </w:r>
          </w:p>
        </w:tc>
      </w:tr>
    </w:tbl>
    <w:p w:rsidR="002D69B5" w:rsidRPr="00E725C7" w:rsidRDefault="002D69B5" w:rsidP="00E725C7">
      <w:pPr>
        <w:spacing w:line="480" w:lineRule="auto"/>
        <w:rPr>
          <w:rFonts w:ascii="Times New Roman" w:hAnsi="Times New Roman" w:cs="Times New Roman"/>
          <w:sz w:val="24"/>
          <w:szCs w:val="24"/>
        </w:rPr>
      </w:pPr>
    </w:p>
    <w:p w:rsidR="002046C4" w:rsidRPr="00E725C7" w:rsidRDefault="00E70AEA"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The table represents the summary of the OFC date of the patients and the dose in which the patients reacted to BM as well as the patients' final disposition. None of the patients completed the UM OIT because of severe and frequent reactions. All the patients experienced BM reactivity at some point except for patients 3 and 15. 9 patients reacted on day one. The third patient was withdrawn from oral immunotherapy due to psychological aversion while patient number 15 experienced abdominal discomforts. 3 of the patients were tolerant to the 1.3 g/d of baked CMP. 8 of them never completed the OIT due to IgE-mediated reactions while three never completed it due to other reasons. To establish the threshold of reactivity, patients performed oral food challenge at the start, afte</w:t>
      </w:r>
      <w:r w:rsidR="00B66ED2" w:rsidRPr="00E725C7">
        <w:rPr>
          <w:rFonts w:ascii="Times New Roman" w:hAnsi="Times New Roman" w:cs="Times New Roman"/>
          <w:sz w:val="24"/>
          <w:szCs w:val="24"/>
        </w:rPr>
        <w:t>r 6 months, and after 12 months</w:t>
      </w:r>
      <w:r w:rsidR="003074FD" w:rsidRPr="00E725C7">
        <w:rPr>
          <w:rFonts w:ascii="Times New Roman" w:hAnsi="Times New Roman" w:cs="Times New Roman"/>
          <w:sz w:val="24"/>
          <w:szCs w:val="24"/>
        </w:rPr>
        <w:t>.</w:t>
      </w:r>
    </w:p>
    <w:p w:rsidR="00801311" w:rsidRPr="00E725C7" w:rsidRDefault="00087A96"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Table 2</w:t>
      </w:r>
      <w:r w:rsidR="00801311" w:rsidRPr="00E725C7">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024"/>
        <w:gridCol w:w="672"/>
        <w:gridCol w:w="739"/>
        <w:gridCol w:w="749"/>
        <w:gridCol w:w="740"/>
        <w:gridCol w:w="673"/>
        <w:gridCol w:w="740"/>
        <w:gridCol w:w="673"/>
        <w:gridCol w:w="740"/>
        <w:gridCol w:w="673"/>
        <w:gridCol w:w="740"/>
        <w:gridCol w:w="673"/>
        <w:gridCol w:w="740"/>
      </w:tblGrid>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p>
        </w:tc>
        <w:tc>
          <w:tcPr>
            <w:tcW w:w="1471" w:type="dxa"/>
            <w:gridSpan w:val="2"/>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Morisset</w:t>
            </w: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et al [26]</w:t>
            </w:r>
          </w:p>
        </w:tc>
        <w:tc>
          <w:tcPr>
            <w:tcW w:w="1422" w:type="dxa"/>
            <w:gridSpan w:val="2"/>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Longo</w:t>
            </w: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et al [25]</w:t>
            </w:r>
          </w:p>
        </w:tc>
        <w:tc>
          <w:tcPr>
            <w:tcW w:w="1444" w:type="dxa"/>
            <w:gridSpan w:val="2"/>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Skripak</w:t>
            </w: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et al [20]</w:t>
            </w:r>
          </w:p>
        </w:tc>
        <w:tc>
          <w:tcPr>
            <w:tcW w:w="1310" w:type="dxa"/>
            <w:gridSpan w:val="2"/>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Pajno</w:t>
            </w: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et al [23]</w:t>
            </w:r>
          </w:p>
        </w:tc>
        <w:tc>
          <w:tcPr>
            <w:tcW w:w="1310" w:type="dxa"/>
            <w:gridSpan w:val="2"/>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Martorell</w:t>
            </w: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et al [60]</w:t>
            </w:r>
          </w:p>
        </w:tc>
        <w:tc>
          <w:tcPr>
            <w:tcW w:w="1310" w:type="dxa"/>
            <w:gridSpan w:val="2"/>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Salmivesi</w:t>
            </w: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et al [24]</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Number of patients</w:t>
            </w:r>
          </w:p>
        </w:tc>
        <w:tc>
          <w:tcPr>
            <w:tcW w:w="1471" w:type="dxa"/>
            <w:gridSpan w:val="2"/>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60</w:t>
            </w:r>
          </w:p>
        </w:tc>
        <w:tc>
          <w:tcPr>
            <w:tcW w:w="1422" w:type="dxa"/>
            <w:gridSpan w:val="2"/>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60</w:t>
            </w:r>
          </w:p>
        </w:tc>
        <w:tc>
          <w:tcPr>
            <w:tcW w:w="1444" w:type="dxa"/>
            <w:gridSpan w:val="2"/>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20</w:t>
            </w:r>
          </w:p>
        </w:tc>
        <w:tc>
          <w:tcPr>
            <w:tcW w:w="1310" w:type="dxa"/>
            <w:gridSpan w:val="2"/>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1310" w:type="dxa"/>
            <w:gridSpan w:val="2"/>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60</w:t>
            </w:r>
          </w:p>
        </w:tc>
        <w:tc>
          <w:tcPr>
            <w:tcW w:w="1310" w:type="dxa"/>
            <w:gridSpan w:val="2"/>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28</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Groups</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Active</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Control</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Active</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Control</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Active</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Control</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Active</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Control</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Active </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Control</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Active</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Control</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Number of patients in each group</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28</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32</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13</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7</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18</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10</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Dropouts</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Tolerant patients</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24</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18</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11</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27</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Partially tolerant patients</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27</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Failure (no toleranc</w:t>
            </w:r>
            <w:r w:rsidRPr="00E725C7">
              <w:rPr>
                <w:rFonts w:ascii="Times New Roman" w:hAnsi="Times New Roman" w:cs="Times New Roman"/>
                <w:sz w:val="24"/>
                <w:szCs w:val="24"/>
              </w:rPr>
              <w:lastRenderedPageBreak/>
              <w:t>e)</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3</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7</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14</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23</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10</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Adverse effects</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30</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24</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16</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2/3</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Need for epinephrine</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24(neb) +5 (im)</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0</w:t>
            </w:r>
          </w:p>
        </w:tc>
        <w:tc>
          <w:tcPr>
            <w:tcW w:w="655" w:type="dxa"/>
          </w:tcPr>
          <w:p w:rsidR="00801311" w:rsidRPr="00E725C7" w:rsidRDefault="00801311" w:rsidP="00E725C7">
            <w:pPr>
              <w:spacing w:line="480" w:lineRule="auto"/>
              <w:rPr>
                <w:rFonts w:ascii="Times New Roman" w:hAnsi="Times New Roman" w:cs="Times New Roman"/>
                <w:sz w:val="24"/>
                <w:szCs w:val="24"/>
              </w:rPr>
            </w:pPr>
          </w:p>
        </w:tc>
        <w:tc>
          <w:tcPr>
            <w:tcW w:w="655" w:type="dxa"/>
          </w:tcPr>
          <w:p w:rsidR="00801311" w:rsidRPr="00E725C7" w:rsidRDefault="00801311" w:rsidP="00E725C7">
            <w:pPr>
              <w:spacing w:line="480" w:lineRule="auto"/>
              <w:rPr>
                <w:rFonts w:ascii="Times New Roman" w:hAnsi="Times New Roman" w:cs="Times New Roman"/>
                <w:sz w:val="24"/>
                <w:szCs w:val="24"/>
              </w:rPr>
            </w:pP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Baseline CM-sIgE</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101</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101</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34.8</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14.4</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39.0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40.1</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23.6</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18</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12.6</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CM-specific IgE after treatment</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73.1</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101</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26.9</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13.5</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38.1</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32.2</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7</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24.5</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11</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6.6</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Baseline casein-sIgE</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11.4</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12.56</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Casein-sIgE after </w:t>
            </w:r>
            <w:r w:rsidRPr="00E725C7">
              <w:rPr>
                <w:rFonts w:ascii="Times New Roman" w:hAnsi="Times New Roman" w:cs="Times New Roman"/>
                <w:sz w:val="24"/>
                <w:szCs w:val="24"/>
              </w:rPr>
              <w:lastRenderedPageBreak/>
              <w:t>treatment</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ND</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2.61</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19.1</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Baselne CM-sIgG4</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5</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5.74</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CM-sIg4 after treatment</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43.4</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6.3</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Baseline prick test</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2.8 mm</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 mm</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1:50</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1:100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Log 2.5</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Log 2.57</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r>
      <w:tr w:rsidR="00801311" w:rsidRPr="00E725C7" w:rsidTr="00F259F8">
        <w:tc>
          <w:tcPr>
            <w:tcW w:w="1309"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Prick test after treatment</w:t>
            </w:r>
          </w:p>
        </w:tc>
        <w:tc>
          <w:tcPr>
            <w:tcW w:w="73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1.4 mm</w:t>
            </w:r>
          </w:p>
        </w:tc>
        <w:tc>
          <w:tcPr>
            <w:tcW w:w="736"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2.7 mm</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11"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1:3</w:t>
            </w:r>
          </w:p>
        </w:tc>
        <w:tc>
          <w:tcPr>
            <w:tcW w:w="722"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1:50</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Log 0.962</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Log 2.75</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c>
          <w:tcPr>
            <w:tcW w:w="655"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ND</w:t>
            </w:r>
          </w:p>
        </w:tc>
      </w:tr>
    </w:tbl>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Abbreviations: CM, cow milk; sIgE, specific IgE; neb,nebulized; im, intramuscular; ND , no data. </w:t>
      </w:r>
    </w:p>
    <w:p w:rsidR="006150DC" w:rsidRPr="00E725C7" w:rsidRDefault="006150DC"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Figure 1: Results of effectiveness of oral immunotherapy with cow’s milk</w:t>
      </w:r>
    </w:p>
    <w:tbl>
      <w:tblPr>
        <w:tblStyle w:val="TableGrid"/>
        <w:tblW w:w="0" w:type="auto"/>
        <w:tblLook w:val="04A0" w:firstRow="1" w:lastRow="0" w:firstColumn="1" w:lastColumn="0" w:noHBand="0" w:noVBand="1"/>
      </w:tblPr>
      <w:tblGrid>
        <w:gridCol w:w="4788"/>
        <w:gridCol w:w="4788"/>
      </w:tblGrid>
      <w:tr w:rsidR="00801311" w:rsidRPr="00E725C7" w:rsidTr="00F259F8">
        <w:tc>
          <w:tcPr>
            <w:tcW w:w="9576" w:type="dxa"/>
            <w:gridSpan w:val="2"/>
          </w:tcPr>
          <w:p w:rsidR="00801311" w:rsidRPr="00E725C7" w:rsidRDefault="00801311" w:rsidP="00E725C7">
            <w:pPr>
              <w:tabs>
                <w:tab w:val="left" w:pos="6135"/>
                <w:tab w:val="left" w:pos="8355"/>
              </w:tabs>
              <w:spacing w:line="480" w:lineRule="auto"/>
              <w:rPr>
                <w:rFonts w:ascii="Times New Roman" w:hAnsi="Times New Roman" w:cs="Times New Roman"/>
                <w:sz w:val="24"/>
                <w:szCs w:val="24"/>
              </w:rPr>
            </w:pPr>
            <w:r w:rsidRPr="00E725C7">
              <w:rPr>
                <w:rFonts w:ascii="Times New Roman" w:hAnsi="Times New Roman" w:cs="Times New Roman"/>
                <w:sz w:val="24"/>
                <w:szCs w:val="24"/>
              </w:rPr>
              <w:t>Study                                                                                       RR (95% CI)</w:t>
            </w:r>
            <w:r w:rsidRPr="00E725C7">
              <w:rPr>
                <w:rFonts w:ascii="Times New Roman" w:hAnsi="Times New Roman" w:cs="Times New Roman"/>
                <w:sz w:val="24"/>
                <w:szCs w:val="24"/>
              </w:rPr>
              <w:tab/>
              <w:t xml:space="preserve">                                 </w:t>
            </w:r>
            <w:r w:rsidRPr="00E725C7">
              <w:rPr>
                <w:rFonts w:ascii="Times New Roman" w:hAnsi="Times New Roman" w:cs="Times New Roman"/>
                <w:sz w:val="24"/>
                <w:szCs w:val="24"/>
              </w:rPr>
              <w:lastRenderedPageBreak/>
              <w:t>% Weight</w:t>
            </w:r>
          </w:p>
        </w:tc>
      </w:tr>
      <w:tr w:rsidR="00801311" w:rsidRPr="00E725C7" w:rsidTr="00F259F8">
        <w:tc>
          <w:tcPr>
            <w:tcW w:w="4788" w:type="dxa"/>
          </w:tcPr>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Children not able to tolerate 75 ml of milk at baseline</w:t>
            </w: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Longo et al (2008)</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Martorell et al (2011)</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Pajno et al (2010)</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Salmvesi et al (2012)</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Skripak et al (2008)</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Subtotal (I-squared =.0%,p=.917)</w:t>
            </w: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Children able to tolerate 75 ml of milk at baseline</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Morisset et al (2007)</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Subtotal (I-squared =. %, p=.)</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w:t>
            </w: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Overall ( I-squared =87.6 %, p= .000)</w:t>
            </w:r>
          </w:p>
        </w:tc>
        <w:tc>
          <w:tcPr>
            <w:tcW w:w="4788" w:type="dxa"/>
          </w:tcPr>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23.00 (1.42-373.46)                          14.20</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  8.07 (2.77-23.50)                             20. 51</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22.50 ( 1.45- 349.14)                          14.37</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13.24 (0.88- 198.67)                            14.49</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  8.00 (0.52- 123. 68)                            14.38</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10.26 (4.41-23.83)                                 77.95</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1.48 (1.07-2.04)                                        22.05</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1.48 (1.07-2.04)                                        22.05</w:t>
            </w: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p>
          <w:p w:rsidR="00801311" w:rsidRPr="00E725C7" w:rsidRDefault="00801311"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8.01 ( 1.39- 46.03)                                     </w:t>
            </w:r>
            <w:r w:rsidRPr="00E725C7">
              <w:rPr>
                <w:rFonts w:ascii="Times New Roman" w:hAnsi="Times New Roman" w:cs="Times New Roman"/>
                <w:sz w:val="24"/>
                <w:szCs w:val="24"/>
              </w:rPr>
              <w:lastRenderedPageBreak/>
              <w:t>100.00</w:t>
            </w:r>
          </w:p>
        </w:tc>
      </w:tr>
    </w:tbl>
    <w:p w:rsidR="00861B19" w:rsidRPr="00E725C7" w:rsidRDefault="00861B19" w:rsidP="00E725C7">
      <w:pPr>
        <w:spacing w:line="480" w:lineRule="auto"/>
        <w:rPr>
          <w:rFonts w:ascii="Times New Roman" w:hAnsi="Times New Roman" w:cs="Times New Roman"/>
          <w:sz w:val="24"/>
          <w:szCs w:val="24"/>
        </w:rPr>
      </w:pPr>
    </w:p>
    <w:p w:rsidR="00B66ED2" w:rsidRPr="00E725C7" w:rsidRDefault="00B66ED2"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Table two and figure one above summarizes the results of the second study. From the results, OIT is effective with cow's milk than the avoidance method. This is because of the higher percentage of patients acquiring tolerance after being treated with OIT during the study. The inclusion criteria of Morriset et al (26) are different from the others since the achieved results imply that OIT multiplies the risk by 10-fold (RR, 10.2; 95%CL, 4.4-23.8) the probability of developing tolerance. Patients who failed to complete the program were termed as events. The pooled relative risk was 5.5 (95%CI, 2.6-11.7). Skripak et al [25], examined differences in IgG4 level and noted an increase in the patients who used cow's milk in the OIT. Martorell et al [3], examined sIgE levels to casein from the milk obtained from the cow and noted a reduction in the number of patients who used milk from a cow in the OIT (active group) compared to the control group. Morisset et al [26], Martorell et al [3], and Skripak et al [25] noted a smaller skin testing wheal in the patients who encountered OIT.</w:t>
      </w:r>
    </w:p>
    <w:p w:rsidR="00B66ED2" w:rsidRPr="00E725C7" w:rsidRDefault="00B66ED2"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As per the third study, not every child who got introduced to baked foods continued with the diet. As per Lee et al, 8/75 (10.7%) of the children stopped consuming BM while 2/23 (8.7%) stopped consuming BE. Weinbrand-Goichberg et al noted that 51/70 (81%) who achieved BM OFC were still consuming BM. The studies indicated that some of the children had developed mild reactions and gastrointestinal symptoms and others hated the BE and BM taste. The symptoms might be a result of minor mistakes during the baking procedure such as the use of wrong temperatures and not minding the baking time.</w:t>
      </w:r>
    </w:p>
    <w:p w:rsidR="00B66ED2" w:rsidRPr="00E725C7" w:rsidRDefault="00B66ED2"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 xml:space="preserve">Children who eat baked diets have no adverse effects on growth, the permeability of the intestines, and conditions such as dermatitis. From a BM study, a child who strictly avoids milk and another one consuming the baked form, the BM tolerant stopped at first but continued the BM after realizing that BM avoidance never improved their condition. In Netting et al, a child who strictly avoided BM achieved Eosinophilic Esophagitis (EoE). There is therefore no evidence of the association between baked diets and the achievement of EoE. The murine model indicated that heated OVA and OVM never cause anaphylaxis when given orally to sensitized mice but they can cause anaphylaxis when administered systematically. The results meant that the heated egg can still possess the ability to cause allergies but have fewer side effects if used in oral immunotherapy. According to some observational studies, a remarkable resolution speed of egg allergy has been noted after the introduction of the baked egg. The children who consumed baked milk acquired LM-tolerant at a higher rate compared to the controls who avoided milk. </w:t>
      </w:r>
    </w:p>
    <w:p w:rsidR="00B66ED2" w:rsidRPr="00E725C7" w:rsidRDefault="00B66ED2"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Discussion</w:t>
      </w:r>
    </w:p>
    <w:p w:rsidR="002F6D7F" w:rsidRPr="00E725C7" w:rsidRDefault="00B66ED2"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The results summarized in table 1 indicated that baked milk products have promised to be used in OIT programs due to their lower ability to cause allergies and the potential to desensitize IgE-CMA patients. Currently, the data is restricted to IgE-CMA patients who are not reactive to BM products. 21% of the patients reached the maintenance goal dose of 1.3 g of BM protein. 8 of them failed to complete due to mediated reactions of IgE with two cases of anaphylaxis and required intramuscular epinephrine. In the previous baked milk oral immunotherapy, seven patients needed the intramuscular epinephrine. Casein IgE levels have proved to forecast BM reactivity. Immunoblot analysis showed a decrease in the reactivity of IgE as opposed to </w:t>
      </w:r>
      <w:r w:rsidRPr="00E725C7">
        <w:rPr>
          <w:rFonts w:ascii="Times New Roman" w:hAnsi="Times New Roman" w:cs="Times New Roman"/>
          <w:sz w:val="24"/>
          <w:szCs w:val="24"/>
        </w:rPr>
        <w:lastRenderedPageBreak/>
        <w:t>lactalbumin and casein present in the patients who reached the baked milk maintenance goal.</w:t>
      </w:r>
      <w:r w:rsidR="00327840" w:rsidRPr="00E725C7">
        <w:rPr>
          <w:rFonts w:ascii="Times New Roman" w:hAnsi="Times New Roman" w:cs="Times New Roman"/>
          <w:noProof/>
          <w:sz w:val="24"/>
          <w:szCs w:val="24"/>
        </w:rPr>
        <w:drawing>
          <wp:inline distT="0" distB="0" distL="0" distR="0">
            <wp:extent cx="5486400" cy="32004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57756A" w:rsidRPr="00E725C7" w:rsidRDefault="0057756A"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Figure 2 above represents the maximum dose tolerated from the oral food challenge of unheated milk at T0, T6, and T12 which s grouped according to disposition in baked milk immunotherapy after the 12 months treatment. The Green column represents all the participants who reached the 12-month mark, the red column represents the patients who successfully reached the maintenance goal while the blue color represents the failures. It was noted that for the total population of patients, no differences occurred between reactivity for both heated and unheated milk. For the patients who successfully reached the maintenance goal a difference was noted in the reactivity of the unheated milk and the heated milk to 180 degrees for 30 minutes. Heating for a longer time would have brought about the difference. </w:t>
      </w:r>
    </w:p>
    <w:p w:rsidR="0057756A" w:rsidRPr="00E725C7" w:rsidRDefault="0057756A"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The second study compared oral immunotherapy (OIT) with the avoidance approach and it was observed that the OIT strategy was effective and safe. In the past efforts have been made to determine the effectiveness, benefits, utility, and disadvantages of oral immunotherapy using the </w:t>
      </w:r>
      <w:r w:rsidRPr="00E725C7">
        <w:rPr>
          <w:rFonts w:ascii="Times New Roman" w:hAnsi="Times New Roman" w:cs="Times New Roman"/>
          <w:sz w:val="24"/>
          <w:szCs w:val="24"/>
        </w:rPr>
        <w:lastRenderedPageBreak/>
        <w:t>milk from the cow. Other researches have been conducted to improve the usefulness of OIT and establish protocols for its use. Using cow's milk to conduct OIT helps many patients acquire tolerance without effects. A lower level of sIgE in milk was noted in the patients who underwent OIT but not in the control group. The authors who examined casein-specific IgE noted differences after the 12 months. OIT is not recommended to use daily in IgE-mediated food allergy children. A new approach was adopted in the analysis of using cow's milk in OIT which dealt with the strategy of treating general food allergies by confirming for safety and the probability of developing tolerance.</w:t>
      </w:r>
    </w:p>
    <w:p w:rsidR="0057756A" w:rsidRPr="00E725C7" w:rsidRDefault="0057756A"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The approach is effective in children since all the studies indicated similar rates of desensitization. OIT is safe if conducted in a favorable environment in the present medical professionals who are experienced. During OIT, unfavorable reactions are common and are normal. They are usually mild and do not require treatment for they can be easily managed. The results helped conclude that OIT is safe and effective for more patients who developed tolerance than n the avoidance diet approach.</w:t>
      </w:r>
    </w:p>
    <w:p w:rsidR="0057756A" w:rsidRPr="00E725C7" w:rsidRDefault="0057756A"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The third Study showed that 73%-83% of milk allergic children can eat baked milk safely. Most of the patients with egg allergy can tolerate baked eggs. Heating has been proved to alter the allergenicity of protein foods including eggs and milk. Heat treatment interferes with the structure of the foods reducing their potential to cause allergies. The time of baking affects the rate of tolerance, for example, baking for a long time denatures the epitopes resulting in a higher tolerance rate. Some studies indicate that consumption of BM and BE may increase the tolerance, other studies suggest that there is no effect of baked products on the status of the allergy. Sicherer et al recognized that egg allergy diminished in 49.3% of egg-allergic patients. Another study indicated that milk allergy resolved in 52.6% of the milk allergic patients.  </w:t>
      </w:r>
    </w:p>
    <w:p w:rsidR="0057756A" w:rsidRPr="00E725C7" w:rsidRDefault="0057756A"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lastRenderedPageBreak/>
        <w:t>From the analysis of randomized controlled trials in the milk OIT, it was noted that the likelihood of desensitization in children who went through OIT was 10.3 times more than those who never underwent the procedure. The success of patients who achieved desensitization was between 50% and 90%.  The safety ranged between 6.7 to 30.8% which was measured by epinephrine. For the egg, the success of desensitization was between 27 and 92.5%. Substances used in desensitization vary in different studies. Currently, there is no scientific proof that baked diets prevent allergies.</w:t>
      </w:r>
    </w:p>
    <w:p w:rsidR="0057756A" w:rsidRPr="00E725C7" w:rsidRDefault="0057756A" w:rsidP="00E725C7">
      <w:pPr>
        <w:spacing w:line="480" w:lineRule="auto"/>
        <w:rPr>
          <w:rFonts w:ascii="Times New Roman" w:hAnsi="Times New Roman" w:cs="Times New Roman"/>
          <w:sz w:val="24"/>
          <w:szCs w:val="24"/>
        </w:rPr>
      </w:pPr>
      <w:r w:rsidRPr="00E725C7">
        <w:rPr>
          <w:rFonts w:ascii="Times New Roman" w:hAnsi="Times New Roman" w:cs="Times New Roman"/>
          <w:sz w:val="24"/>
          <w:szCs w:val="24"/>
        </w:rPr>
        <w:t xml:space="preserve">In conclusion, oral immunotherapy is safe and its side effects are mild which can be managed. Baked milk and baked egg diets are mostly tolerated by children who are allergic to both egg and milk. Further studies are required before baked milk immunotherapy is freely administered to baked milk reactive patients. This is because of the risk of adverse reactions such as anaphylaxis throughout the therapy. Further studies are also required to assess the possibility of other immunological changes that might occur. </w:t>
      </w:r>
    </w:p>
    <w:p w:rsidR="0057756A" w:rsidRPr="00E725C7" w:rsidRDefault="0057756A" w:rsidP="00E725C7">
      <w:pPr>
        <w:spacing w:line="480" w:lineRule="auto"/>
        <w:rPr>
          <w:rFonts w:ascii="Times New Roman" w:hAnsi="Times New Roman" w:cs="Times New Roman"/>
          <w:sz w:val="24"/>
          <w:szCs w:val="24"/>
        </w:rPr>
      </w:pPr>
    </w:p>
    <w:p w:rsidR="0057756A" w:rsidRPr="00E725C7" w:rsidRDefault="0057756A" w:rsidP="00E725C7">
      <w:pPr>
        <w:spacing w:line="480" w:lineRule="auto"/>
        <w:rPr>
          <w:rFonts w:ascii="Times New Roman" w:hAnsi="Times New Roman" w:cs="Times New Roman"/>
          <w:sz w:val="24"/>
          <w:szCs w:val="24"/>
        </w:rPr>
      </w:pPr>
    </w:p>
    <w:p w:rsidR="0057756A" w:rsidRPr="00E725C7" w:rsidRDefault="0057756A" w:rsidP="00E725C7">
      <w:pPr>
        <w:spacing w:line="480" w:lineRule="auto"/>
        <w:rPr>
          <w:rFonts w:ascii="Times New Roman" w:hAnsi="Times New Roman" w:cs="Times New Roman"/>
          <w:sz w:val="24"/>
          <w:szCs w:val="24"/>
        </w:rPr>
      </w:pPr>
    </w:p>
    <w:p w:rsidR="0057756A" w:rsidRPr="00E725C7" w:rsidRDefault="0057756A" w:rsidP="00E725C7">
      <w:pPr>
        <w:spacing w:line="480" w:lineRule="auto"/>
        <w:rPr>
          <w:rFonts w:ascii="Times New Roman" w:hAnsi="Times New Roman" w:cs="Times New Roman"/>
          <w:sz w:val="24"/>
          <w:szCs w:val="24"/>
        </w:rPr>
      </w:pPr>
    </w:p>
    <w:p w:rsidR="0057756A" w:rsidRPr="00E725C7" w:rsidRDefault="0057756A" w:rsidP="00E725C7">
      <w:pPr>
        <w:spacing w:line="480" w:lineRule="auto"/>
        <w:rPr>
          <w:rFonts w:ascii="Times New Roman" w:hAnsi="Times New Roman" w:cs="Times New Roman"/>
          <w:sz w:val="24"/>
          <w:szCs w:val="24"/>
        </w:rPr>
      </w:pPr>
    </w:p>
    <w:p w:rsidR="00694A6B" w:rsidRDefault="00694A6B" w:rsidP="00E725C7">
      <w:pPr>
        <w:spacing w:line="480" w:lineRule="auto"/>
        <w:jc w:val="center"/>
        <w:rPr>
          <w:rFonts w:ascii="Times New Roman" w:hAnsi="Times New Roman" w:cs="Times New Roman"/>
          <w:sz w:val="24"/>
          <w:szCs w:val="24"/>
        </w:rPr>
      </w:pPr>
    </w:p>
    <w:p w:rsidR="00694A6B" w:rsidRDefault="00694A6B" w:rsidP="00E725C7">
      <w:pPr>
        <w:spacing w:line="480" w:lineRule="auto"/>
        <w:jc w:val="center"/>
        <w:rPr>
          <w:rFonts w:ascii="Times New Roman" w:hAnsi="Times New Roman" w:cs="Times New Roman"/>
          <w:sz w:val="24"/>
          <w:szCs w:val="24"/>
        </w:rPr>
      </w:pPr>
    </w:p>
    <w:p w:rsidR="00864F13" w:rsidRPr="00E725C7" w:rsidRDefault="00B8364B" w:rsidP="00E725C7">
      <w:pPr>
        <w:spacing w:line="480" w:lineRule="auto"/>
        <w:jc w:val="center"/>
        <w:rPr>
          <w:rFonts w:ascii="Times New Roman" w:hAnsi="Times New Roman" w:cs="Times New Roman"/>
          <w:sz w:val="24"/>
          <w:szCs w:val="24"/>
        </w:rPr>
      </w:pPr>
      <w:r w:rsidRPr="00E725C7">
        <w:rPr>
          <w:rFonts w:ascii="Times New Roman" w:hAnsi="Times New Roman" w:cs="Times New Roman"/>
          <w:sz w:val="24"/>
          <w:szCs w:val="24"/>
        </w:rPr>
        <w:lastRenderedPageBreak/>
        <w:t>References</w:t>
      </w:r>
    </w:p>
    <w:p w:rsidR="00B8364B" w:rsidRPr="00C373A3" w:rsidRDefault="00365E18" w:rsidP="00C373A3">
      <w:pPr>
        <w:spacing w:line="480" w:lineRule="auto"/>
        <w:ind w:left="720" w:hanging="720"/>
        <w:jc w:val="both"/>
        <w:rPr>
          <w:rFonts w:ascii="Times New Roman" w:hAnsi="Times New Roman" w:cs="Times New Roman"/>
          <w:color w:val="000000"/>
          <w:sz w:val="24"/>
          <w:szCs w:val="24"/>
          <w:shd w:val="clear" w:color="auto" w:fill="FFFFFF"/>
        </w:rPr>
      </w:pPr>
      <w:r w:rsidRPr="00C373A3">
        <w:rPr>
          <w:rFonts w:ascii="Times New Roman" w:hAnsi="Times New Roman" w:cs="Times New Roman"/>
          <w:color w:val="000000"/>
          <w:sz w:val="24"/>
          <w:szCs w:val="24"/>
          <w:shd w:val="clear" w:color="auto" w:fill="FFFFFF"/>
        </w:rPr>
        <w:t>Goldberg, M. R., Nachshon, L., Appel, M. Y., Elizur, A., Levy, M. B., Eisenberg, E., Sampson, H. A., &amp; Katz, Y. (2015). Efficacy of baked milk oral immunotherapy in baked milk-reactive allergic patients. </w:t>
      </w:r>
      <w:r w:rsidRPr="00C373A3">
        <w:rPr>
          <w:rFonts w:ascii="Times New Roman" w:hAnsi="Times New Roman" w:cs="Times New Roman"/>
          <w:i/>
          <w:iCs/>
          <w:color w:val="000000"/>
          <w:sz w:val="24"/>
          <w:szCs w:val="24"/>
          <w:shd w:val="clear" w:color="auto" w:fill="FFFFFF"/>
        </w:rPr>
        <w:t>The Journal of allergy and clinical immunology</w:t>
      </w:r>
      <w:r w:rsidRPr="00C373A3">
        <w:rPr>
          <w:rFonts w:ascii="Times New Roman" w:hAnsi="Times New Roman" w:cs="Times New Roman"/>
          <w:color w:val="000000"/>
          <w:sz w:val="24"/>
          <w:szCs w:val="24"/>
          <w:shd w:val="clear" w:color="auto" w:fill="FFFFFF"/>
        </w:rPr>
        <w:t>, </w:t>
      </w:r>
      <w:r w:rsidRPr="00C373A3">
        <w:rPr>
          <w:rFonts w:ascii="Times New Roman" w:hAnsi="Times New Roman" w:cs="Times New Roman"/>
          <w:i/>
          <w:iCs/>
          <w:color w:val="000000"/>
          <w:sz w:val="24"/>
          <w:szCs w:val="24"/>
          <w:shd w:val="clear" w:color="auto" w:fill="FFFFFF"/>
        </w:rPr>
        <w:t>136</w:t>
      </w:r>
      <w:r w:rsidRPr="00C373A3">
        <w:rPr>
          <w:rFonts w:ascii="Times New Roman" w:hAnsi="Times New Roman" w:cs="Times New Roman"/>
          <w:color w:val="000000"/>
          <w:sz w:val="24"/>
          <w:szCs w:val="24"/>
          <w:shd w:val="clear" w:color="auto" w:fill="FFFFFF"/>
        </w:rPr>
        <w:t xml:space="preserve">(6), 1601–1606. </w:t>
      </w:r>
      <w:hyperlink r:id="rId7" w:history="1">
        <w:r w:rsidR="00104AC2" w:rsidRPr="00C373A3">
          <w:rPr>
            <w:rStyle w:val="Hyperlink"/>
            <w:rFonts w:ascii="Times New Roman" w:hAnsi="Times New Roman" w:cs="Times New Roman"/>
            <w:sz w:val="24"/>
            <w:szCs w:val="24"/>
            <w:shd w:val="clear" w:color="auto" w:fill="FFFFFF"/>
          </w:rPr>
          <w:t>https://doi.org/10.1016/j.jaci.2015.05.040</w:t>
        </w:r>
      </w:hyperlink>
    </w:p>
    <w:p w:rsidR="0060215C" w:rsidRPr="00C373A3" w:rsidRDefault="0060215C" w:rsidP="00C373A3">
      <w:pPr>
        <w:spacing w:line="480" w:lineRule="auto"/>
        <w:ind w:left="720" w:hanging="720"/>
        <w:jc w:val="both"/>
        <w:rPr>
          <w:rFonts w:ascii="Times New Roman" w:hAnsi="Times New Roman" w:cs="Times New Roman"/>
          <w:sz w:val="24"/>
          <w:szCs w:val="24"/>
        </w:rPr>
      </w:pPr>
      <w:r w:rsidRPr="00C373A3">
        <w:rPr>
          <w:rFonts w:ascii="Times New Roman" w:hAnsi="Times New Roman" w:cs="Times New Roman"/>
          <w:color w:val="000000"/>
          <w:sz w:val="24"/>
          <w:szCs w:val="24"/>
          <w:shd w:val="clear" w:color="auto" w:fill="FFFFFF"/>
        </w:rPr>
        <w:t>Martorell Calatayud, C., Muriel García, A., Martorell Aragonés, A., &amp; De La Hoz Caballer, B. (2014). Safety and efficacy profile and immunological changes associated with oral immunotherapy for IgE-mediated cow's milk allergy in children: systematic review and meta-analysis. </w:t>
      </w:r>
      <w:r w:rsidRPr="00C373A3">
        <w:rPr>
          <w:rFonts w:ascii="Times New Roman" w:hAnsi="Times New Roman" w:cs="Times New Roman"/>
          <w:i/>
          <w:iCs/>
          <w:color w:val="000000"/>
          <w:sz w:val="24"/>
          <w:szCs w:val="24"/>
          <w:shd w:val="clear" w:color="auto" w:fill="FFFFFF"/>
        </w:rPr>
        <w:t>Journal of investigational</w:t>
      </w:r>
      <w:bookmarkStart w:id="0" w:name="_GoBack"/>
      <w:bookmarkEnd w:id="0"/>
      <w:r w:rsidRPr="00C373A3">
        <w:rPr>
          <w:rFonts w:ascii="Times New Roman" w:hAnsi="Times New Roman" w:cs="Times New Roman"/>
          <w:i/>
          <w:iCs/>
          <w:color w:val="000000"/>
          <w:sz w:val="24"/>
          <w:szCs w:val="24"/>
          <w:shd w:val="clear" w:color="auto" w:fill="FFFFFF"/>
        </w:rPr>
        <w:t xml:space="preserve"> allergology &amp; clinical immunology</w:t>
      </w:r>
      <w:r w:rsidRPr="00C373A3">
        <w:rPr>
          <w:rFonts w:ascii="Times New Roman" w:hAnsi="Times New Roman" w:cs="Times New Roman"/>
          <w:color w:val="000000"/>
          <w:sz w:val="24"/>
          <w:szCs w:val="24"/>
          <w:shd w:val="clear" w:color="auto" w:fill="FFFFFF"/>
        </w:rPr>
        <w:t>, </w:t>
      </w:r>
      <w:r w:rsidRPr="00C373A3">
        <w:rPr>
          <w:rFonts w:ascii="Times New Roman" w:hAnsi="Times New Roman" w:cs="Times New Roman"/>
          <w:i/>
          <w:iCs/>
          <w:color w:val="000000"/>
          <w:sz w:val="24"/>
          <w:szCs w:val="24"/>
          <w:shd w:val="clear" w:color="auto" w:fill="FFFFFF"/>
        </w:rPr>
        <w:t>24</w:t>
      </w:r>
      <w:r w:rsidRPr="00C373A3">
        <w:rPr>
          <w:rFonts w:ascii="Times New Roman" w:hAnsi="Times New Roman" w:cs="Times New Roman"/>
          <w:color w:val="000000"/>
          <w:sz w:val="24"/>
          <w:szCs w:val="24"/>
          <w:shd w:val="clear" w:color="auto" w:fill="FFFFFF"/>
        </w:rPr>
        <w:t>(5), 298–307.</w:t>
      </w:r>
    </w:p>
    <w:p w:rsidR="0060215C" w:rsidRPr="00C373A3" w:rsidRDefault="0060215C" w:rsidP="00C373A3">
      <w:pPr>
        <w:spacing w:line="480" w:lineRule="auto"/>
        <w:ind w:left="720" w:hanging="720"/>
        <w:jc w:val="both"/>
        <w:rPr>
          <w:rFonts w:ascii="Times New Roman" w:hAnsi="Times New Roman" w:cs="Times New Roman"/>
          <w:sz w:val="24"/>
          <w:szCs w:val="24"/>
        </w:rPr>
      </w:pPr>
      <w:r w:rsidRPr="00C373A3">
        <w:rPr>
          <w:rFonts w:ascii="Times New Roman" w:hAnsi="Times New Roman" w:cs="Times New Roman"/>
          <w:color w:val="000000"/>
          <w:sz w:val="24"/>
          <w:szCs w:val="24"/>
          <w:shd w:val="clear" w:color="auto" w:fill="FFFFFF"/>
        </w:rPr>
        <w:t>Upton, J., &amp; Nowak-Wegrzyn, A. (2018). The Impact of Baked Egg and Baked Milk Diets on IgE- and Non-IgE-Mediated Allergy. </w:t>
      </w:r>
      <w:r w:rsidRPr="00C373A3">
        <w:rPr>
          <w:rFonts w:ascii="Times New Roman" w:hAnsi="Times New Roman" w:cs="Times New Roman"/>
          <w:i/>
          <w:iCs/>
          <w:color w:val="000000"/>
          <w:sz w:val="24"/>
          <w:szCs w:val="24"/>
          <w:shd w:val="clear" w:color="auto" w:fill="FFFFFF"/>
        </w:rPr>
        <w:t>Clinical reviews in allergy &amp; immunology</w:t>
      </w:r>
      <w:r w:rsidRPr="00C373A3">
        <w:rPr>
          <w:rFonts w:ascii="Times New Roman" w:hAnsi="Times New Roman" w:cs="Times New Roman"/>
          <w:color w:val="000000"/>
          <w:sz w:val="24"/>
          <w:szCs w:val="24"/>
          <w:shd w:val="clear" w:color="auto" w:fill="FFFFFF"/>
        </w:rPr>
        <w:t>, </w:t>
      </w:r>
      <w:r w:rsidRPr="00C373A3">
        <w:rPr>
          <w:rFonts w:ascii="Times New Roman" w:hAnsi="Times New Roman" w:cs="Times New Roman"/>
          <w:i/>
          <w:iCs/>
          <w:color w:val="000000"/>
          <w:sz w:val="24"/>
          <w:szCs w:val="24"/>
          <w:shd w:val="clear" w:color="auto" w:fill="FFFFFF"/>
        </w:rPr>
        <w:t>55</w:t>
      </w:r>
      <w:r w:rsidRPr="00C373A3">
        <w:rPr>
          <w:rFonts w:ascii="Times New Roman" w:hAnsi="Times New Roman" w:cs="Times New Roman"/>
          <w:color w:val="000000"/>
          <w:sz w:val="24"/>
          <w:szCs w:val="24"/>
          <w:shd w:val="clear" w:color="auto" w:fill="FFFFFF"/>
        </w:rPr>
        <w:t>(2), 118–138. https://doi.org/10.1007/s12016-018-8669-0</w:t>
      </w:r>
    </w:p>
    <w:p w:rsidR="00104AC2" w:rsidRPr="00E725C7" w:rsidRDefault="00104AC2" w:rsidP="00E725C7">
      <w:pPr>
        <w:spacing w:line="480" w:lineRule="auto"/>
        <w:rPr>
          <w:rFonts w:ascii="Times New Roman" w:hAnsi="Times New Roman" w:cs="Times New Roman"/>
          <w:sz w:val="24"/>
          <w:szCs w:val="24"/>
        </w:rPr>
      </w:pPr>
    </w:p>
    <w:p w:rsidR="00C66073" w:rsidRPr="00E725C7" w:rsidRDefault="00C66073" w:rsidP="00E725C7">
      <w:pPr>
        <w:spacing w:line="480" w:lineRule="auto"/>
        <w:rPr>
          <w:rFonts w:ascii="Times New Roman" w:hAnsi="Times New Roman" w:cs="Times New Roman"/>
          <w:sz w:val="24"/>
          <w:szCs w:val="24"/>
        </w:rPr>
      </w:pPr>
    </w:p>
    <w:p w:rsidR="001A537A" w:rsidRPr="00E725C7" w:rsidRDefault="001A537A" w:rsidP="00E725C7">
      <w:pPr>
        <w:spacing w:line="480" w:lineRule="auto"/>
        <w:rPr>
          <w:rFonts w:ascii="Times New Roman" w:hAnsi="Times New Roman" w:cs="Times New Roman"/>
          <w:sz w:val="24"/>
          <w:szCs w:val="24"/>
        </w:rPr>
      </w:pPr>
    </w:p>
    <w:p w:rsidR="00C15B10" w:rsidRPr="00E725C7" w:rsidRDefault="00C15B10" w:rsidP="00E725C7">
      <w:pPr>
        <w:spacing w:line="480" w:lineRule="auto"/>
        <w:rPr>
          <w:rFonts w:ascii="Times New Roman" w:hAnsi="Times New Roman" w:cs="Times New Roman"/>
          <w:sz w:val="24"/>
          <w:szCs w:val="24"/>
        </w:rPr>
      </w:pPr>
    </w:p>
    <w:p w:rsidR="00361CA9" w:rsidRPr="00E725C7" w:rsidRDefault="00361CA9" w:rsidP="00E725C7">
      <w:pPr>
        <w:spacing w:line="480" w:lineRule="auto"/>
        <w:rPr>
          <w:rFonts w:ascii="Times New Roman" w:hAnsi="Times New Roman" w:cs="Times New Roman"/>
          <w:sz w:val="24"/>
          <w:szCs w:val="24"/>
        </w:rPr>
      </w:pPr>
    </w:p>
    <w:p w:rsidR="00A75163" w:rsidRPr="00E725C7" w:rsidRDefault="00A75163" w:rsidP="00E725C7">
      <w:pPr>
        <w:spacing w:line="480" w:lineRule="auto"/>
        <w:rPr>
          <w:rFonts w:ascii="Times New Roman" w:hAnsi="Times New Roman" w:cs="Times New Roman"/>
          <w:sz w:val="24"/>
          <w:szCs w:val="24"/>
        </w:rPr>
      </w:pPr>
    </w:p>
    <w:sectPr w:rsidR="00A75163" w:rsidRPr="00E725C7" w:rsidSect="00E725C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561" w:rsidRDefault="002E1561" w:rsidP="00F206A3">
      <w:pPr>
        <w:spacing w:after="0" w:line="240" w:lineRule="auto"/>
      </w:pPr>
      <w:r>
        <w:separator/>
      </w:r>
    </w:p>
  </w:endnote>
  <w:endnote w:type="continuationSeparator" w:id="0">
    <w:p w:rsidR="002E1561" w:rsidRDefault="002E1561" w:rsidP="00F20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561" w:rsidRDefault="002E1561" w:rsidP="00F206A3">
      <w:pPr>
        <w:spacing w:after="0" w:line="240" w:lineRule="auto"/>
      </w:pPr>
      <w:r>
        <w:separator/>
      </w:r>
    </w:p>
  </w:footnote>
  <w:footnote w:type="continuationSeparator" w:id="0">
    <w:p w:rsidR="002E1561" w:rsidRDefault="002E1561" w:rsidP="00F20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26397"/>
      <w:docPartObj>
        <w:docPartGallery w:val="Page Numbers (Top of Page)"/>
        <w:docPartUnique/>
      </w:docPartObj>
    </w:sdtPr>
    <w:sdtEndPr/>
    <w:sdtContent>
      <w:p w:rsidR="00E725C7" w:rsidRDefault="002E1561">
        <w:pPr>
          <w:pStyle w:val="Header"/>
          <w:jc w:val="right"/>
        </w:pPr>
        <w:r>
          <w:fldChar w:fldCharType="begin"/>
        </w:r>
        <w:r>
          <w:instrText xml:space="preserve"> PAGE   \* MERGEFORMAT </w:instrText>
        </w:r>
        <w:r>
          <w:fldChar w:fldCharType="separate"/>
        </w:r>
        <w:r w:rsidR="00C373A3">
          <w:rPr>
            <w:noProof/>
          </w:rPr>
          <w:t>15</w:t>
        </w:r>
        <w:r>
          <w:rPr>
            <w:noProof/>
          </w:rPr>
          <w:fldChar w:fldCharType="end"/>
        </w:r>
      </w:p>
    </w:sdtContent>
  </w:sdt>
  <w:p w:rsidR="00E725C7" w:rsidRDefault="00E725C7">
    <w:pPr>
      <w:pStyle w:val="Header"/>
    </w:pPr>
    <w:r>
      <w:t>Food allergy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C7" w:rsidRDefault="00E725C7">
    <w:pPr>
      <w:pStyle w:val="Header"/>
    </w:pPr>
    <w:r>
      <w:t>Running head: Food allergy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56394"/>
    <w:rsid w:val="000335F1"/>
    <w:rsid w:val="00062C37"/>
    <w:rsid w:val="0006717E"/>
    <w:rsid w:val="000823A7"/>
    <w:rsid w:val="00087A96"/>
    <w:rsid w:val="000930F5"/>
    <w:rsid w:val="000956D1"/>
    <w:rsid w:val="000B4FC1"/>
    <w:rsid w:val="000D1397"/>
    <w:rsid w:val="000E2A2A"/>
    <w:rsid w:val="000F2222"/>
    <w:rsid w:val="00104AC2"/>
    <w:rsid w:val="0011722E"/>
    <w:rsid w:val="00117FF4"/>
    <w:rsid w:val="00126081"/>
    <w:rsid w:val="00147275"/>
    <w:rsid w:val="00191219"/>
    <w:rsid w:val="001A537A"/>
    <w:rsid w:val="001E20EE"/>
    <w:rsid w:val="002046C4"/>
    <w:rsid w:val="002055D9"/>
    <w:rsid w:val="002224E3"/>
    <w:rsid w:val="002225C5"/>
    <w:rsid w:val="0023555E"/>
    <w:rsid w:val="002472EA"/>
    <w:rsid w:val="00261328"/>
    <w:rsid w:val="002715AB"/>
    <w:rsid w:val="002D69B5"/>
    <w:rsid w:val="002D7CBF"/>
    <w:rsid w:val="002E1561"/>
    <w:rsid w:val="002E4E56"/>
    <w:rsid w:val="002F6D7F"/>
    <w:rsid w:val="0030509D"/>
    <w:rsid w:val="003074FD"/>
    <w:rsid w:val="00327840"/>
    <w:rsid w:val="00346D07"/>
    <w:rsid w:val="00361CA9"/>
    <w:rsid w:val="00362346"/>
    <w:rsid w:val="00365CDF"/>
    <w:rsid w:val="00365E18"/>
    <w:rsid w:val="00396C42"/>
    <w:rsid w:val="003973A4"/>
    <w:rsid w:val="003A187E"/>
    <w:rsid w:val="003C47E7"/>
    <w:rsid w:val="003D04A3"/>
    <w:rsid w:val="003D1EAA"/>
    <w:rsid w:val="00470244"/>
    <w:rsid w:val="0047199D"/>
    <w:rsid w:val="00481B8C"/>
    <w:rsid w:val="004848FD"/>
    <w:rsid w:val="00496187"/>
    <w:rsid w:val="004A1159"/>
    <w:rsid w:val="004B1D1A"/>
    <w:rsid w:val="004D7E4F"/>
    <w:rsid w:val="004E6504"/>
    <w:rsid w:val="005063BF"/>
    <w:rsid w:val="005150E6"/>
    <w:rsid w:val="00526F82"/>
    <w:rsid w:val="00530C41"/>
    <w:rsid w:val="00532E65"/>
    <w:rsid w:val="00551006"/>
    <w:rsid w:val="005677B9"/>
    <w:rsid w:val="0057756A"/>
    <w:rsid w:val="0059068F"/>
    <w:rsid w:val="005A0563"/>
    <w:rsid w:val="005B3314"/>
    <w:rsid w:val="005D6ADD"/>
    <w:rsid w:val="005E0928"/>
    <w:rsid w:val="005F0E95"/>
    <w:rsid w:val="0060161C"/>
    <w:rsid w:val="0060215C"/>
    <w:rsid w:val="006150DC"/>
    <w:rsid w:val="0062264B"/>
    <w:rsid w:val="00634361"/>
    <w:rsid w:val="0064010A"/>
    <w:rsid w:val="00640A65"/>
    <w:rsid w:val="0065511D"/>
    <w:rsid w:val="00661A7B"/>
    <w:rsid w:val="00694A6B"/>
    <w:rsid w:val="006D11BA"/>
    <w:rsid w:val="006D40B4"/>
    <w:rsid w:val="00712B24"/>
    <w:rsid w:val="00736D1C"/>
    <w:rsid w:val="00750217"/>
    <w:rsid w:val="00761567"/>
    <w:rsid w:val="0079664C"/>
    <w:rsid w:val="00801311"/>
    <w:rsid w:val="008116D6"/>
    <w:rsid w:val="00822E5D"/>
    <w:rsid w:val="00850323"/>
    <w:rsid w:val="008534C8"/>
    <w:rsid w:val="00856394"/>
    <w:rsid w:val="00861B19"/>
    <w:rsid w:val="00864F13"/>
    <w:rsid w:val="00877145"/>
    <w:rsid w:val="00892F01"/>
    <w:rsid w:val="008939AA"/>
    <w:rsid w:val="008B07EF"/>
    <w:rsid w:val="008B7230"/>
    <w:rsid w:val="008E3172"/>
    <w:rsid w:val="008E3581"/>
    <w:rsid w:val="0091759E"/>
    <w:rsid w:val="0092379A"/>
    <w:rsid w:val="00927A45"/>
    <w:rsid w:val="009433A5"/>
    <w:rsid w:val="00946AFF"/>
    <w:rsid w:val="00950601"/>
    <w:rsid w:val="00951730"/>
    <w:rsid w:val="00955C9B"/>
    <w:rsid w:val="00956AA0"/>
    <w:rsid w:val="00985683"/>
    <w:rsid w:val="009916F2"/>
    <w:rsid w:val="009937A8"/>
    <w:rsid w:val="009A5556"/>
    <w:rsid w:val="009D20C0"/>
    <w:rsid w:val="009E11C0"/>
    <w:rsid w:val="009E2256"/>
    <w:rsid w:val="009E721B"/>
    <w:rsid w:val="009E77E5"/>
    <w:rsid w:val="009F1C0B"/>
    <w:rsid w:val="00A016CF"/>
    <w:rsid w:val="00A20C99"/>
    <w:rsid w:val="00A37165"/>
    <w:rsid w:val="00A40A31"/>
    <w:rsid w:val="00A524D0"/>
    <w:rsid w:val="00A53912"/>
    <w:rsid w:val="00A62C77"/>
    <w:rsid w:val="00A75163"/>
    <w:rsid w:val="00A82010"/>
    <w:rsid w:val="00A865F0"/>
    <w:rsid w:val="00AA0018"/>
    <w:rsid w:val="00AA7330"/>
    <w:rsid w:val="00AD211F"/>
    <w:rsid w:val="00AE0E80"/>
    <w:rsid w:val="00AE1F3C"/>
    <w:rsid w:val="00AE5B5F"/>
    <w:rsid w:val="00AF5DB1"/>
    <w:rsid w:val="00B00D8D"/>
    <w:rsid w:val="00B071E3"/>
    <w:rsid w:val="00B12022"/>
    <w:rsid w:val="00B17A05"/>
    <w:rsid w:val="00B37241"/>
    <w:rsid w:val="00B47C96"/>
    <w:rsid w:val="00B52E68"/>
    <w:rsid w:val="00B66ED2"/>
    <w:rsid w:val="00B8364B"/>
    <w:rsid w:val="00B9631D"/>
    <w:rsid w:val="00BB56F5"/>
    <w:rsid w:val="00BD791A"/>
    <w:rsid w:val="00BF6868"/>
    <w:rsid w:val="00C00AD7"/>
    <w:rsid w:val="00C15B10"/>
    <w:rsid w:val="00C15CA2"/>
    <w:rsid w:val="00C265B5"/>
    <w:rsid w:val="00C373A3"/>
    <w:rsid w:val="00C53287"/>
    <w:rsid w:val="00C66073"/>
    <w:rsid w:val="00C67366"/>
    <w:rsid w:val="00C77054"/>
    <w:rsid w:val="00CA1E68"/>
    <w:rsid w:val="00CB522D"/>
    <w:rsid w:val="00CB7EC7"/>
    <w:rsid w:val="00CC1653"/>
    <w:rsid w:val="00CC309E"/>
    <w:rsid w:val="00D0668A"/>
    <w:rsid w:val="00D44D0E"/>
    <w:rsid w:val="00D45C99"/>
    <w:rsid w:val="00D557F4"/>
    <w:rsid w:val="00D55E50"/>
    <w:rsid w:val="00D55F62"/>
    <w:rsid w:val="00D74FEF"/>
    <w:rsid w:val="00D87DF3"/>
    <w:rsid w:val="00DA6533"/>
    <w:rsid w:val="00DB3C29"/>
    <w:rsid w:val="00DF7F3D"/>
    <w:rsid w:val="00E06439"/>
    <w:rsid w:val="00E21CED"/>
    <w:rsid w:val="00E51725"/>
    <w:rsid w:val="00E551A8"/>
    <w:rsid w:val="00E70AEA"/>
    <w:rsid w:val="00E725C7"/>
    <w:rsid w:val="00E75B80"/>
    <w:rsid w:val="00E814E6"/>
    <w:rsid w:val="00E84404"/>
    <w:rsid w:val="00E9236A"/>
    <w:rsid w:val="00ED4DA7"/>
    <w:rsid w:val="00ED626B"/>
    <w:rsid w:val="00EF46BF"/>
    <w:rsid w:val="00F100A5"/>
    <w:rsid w:val="00F12ABE"/>
    <w:rsid w:val="00F206A3"/>
    <w:rsid w:val="00F24C0E"/>
    <w:rsid w:val="00F259F8"/>
    <w:rsid w:val="00F94EC2"/>
    <w:rsid w:val="00FB5234"/>
    <w:rsid w:val="00FB7A86"/>
    <w:rsid w:val="00FB7C5F"/>
    <w:rsid w:val="00FC4980"/>
    <w:rsid w:val="00FC64F9"/>
    <w:rsid w:val="00FF159B"/>
    <w:rsid w:val="00FF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403A3B-A6A9-4E8D-811A-DD61FE833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C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5C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278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840"/>
    <w:rPr>
      <w:rFonts w:ascii="Tahoma" w:hAnsi="Tahoma" w:cs="Tahoma"/>
      <w:sz w:val="16"/>
      <w:szCs w:val="16"/>
    </w:rPr>
  </w:style>
  <w:style w:type="paragraph" w:styleId="Header">
    <w:name w:val="header"/>
    <w:basedOn w:val="Normal"/>
    <w:link w:val="HeaderChar"/>
    <w:uiPriority w:val="99"/>
    <w:unhideWhenUsed/>
    <w:rsid w:val="00F206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6A3"/>
  </w:style>
  <w:style w:type="paragraph" w:styleId="Footer">
    <w:name w:val="footer"/>
    <w:basedOn w:val="Normal"/>
    <w:link w:val="FooterChar"/>
    <w:uiPriority w:val="99"/>
    <w:semiHidden/>
    <w:unhideWhenUsed/>
    <w:rsid w:val="00F206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206A3"/>
  </w:style>
  <w:style w:type="character" w:styleId="Hyperlink">
    <w:name w:val="Hyperlink"/>
    <w:basedOn w:val="DefaultParagraphFont"/>
    <w:uiPriority w:val="99"/>
    <w:unhideWhenUsed/>
    <w:rsid w:val="00104A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16/j.jaci.2015.05.04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Failure</c:v>
                </c:pt>
              </c:strCache>
            </c:strRef>
          </c:tx>
          <c:invertIfNegative val="0"/>
          <c:cat>
            <c:strRef>
              <c:f>Sheet1!$A$2:$A$5</c:f>
              <c:strCache>
                <c:ptCount val="3"/>
                <c:pt idx="0">
                  <c:v>T0</c:v>
                </c:pt>
                <c:pt idx="1">
                  <c:v>T6</c:v>
                </c:pt>
                <c:pt idx="2">
                  <c:v>T12</c:v>
                </c:pt>
              </c:strCache>
            </c:strRef>
          </c:cat>
          <c:val>
            <c:numRef>
              <c:f>Sheet1!$B$2:$B$5</c:f>
              <c:numCache>
                <c:formatCode>General</c:formatCode>
                <c:ptCount val="4"/>
                <c:pt idx="0">
                  <c:v>10</c:v>
                </c:pt>
                <c:pt idx="1">
                  <c:v>60</c:v>
                </c:pt>
                <c:pt idx="2">
                  <c:v>250</c:v>
                </c:pt>
              </c:numCache>
            </c:numRef>
          </c:val>
        </c:ser>
        <c:ser>
          <c:idx val="1"/>
          <c:order val="1"/>
          <c:tx>
            <c:strRef>
              <c:f>Sheet1!$C$1</c:f>
              <c:strCache>
                <c:ptCount val="1"/>
                <c:pt idx="0">
                  <c:v>Success</c:v>
                </c:pt>
              </c:strCache>
            </c:strRef>
          </c:tx>
          <c:invertIfNegative val="0"/>
          <c:cat>
            <c:strRef>
              <c:f>Sheet1!$A$2:$A$5</c:f>
              <c:strCache>
                <c:ptCount val="3"/>
                <c:pt idx="0">
                  <c:v>T0</c:v>
                </c:pt>
                <c:pt idx="1">
                  <c:v>T6</c:v>
                </c:pt>
                <c:pt idx="2">
                  <c:v>T12</c:v>
                </c:pt>
              </c:strCache>
            </c:strRef>
          </c:cat>
          <c:val>
            <c:numRef>
              <c:f>Sheet1!$C$2:$C$5</c:f>
              <c:numCache>
                <c:formatCode>General</c:formatCode>
                <c:ptCount val="4"/>
                <c:pt idx="0">
                  <c:v>40</c:v>
                </c:pt>
                <c:pt idx="1">
                  <c:v>90</c:v>
                </c:pt>
                <c:pt idx="2">
                  <c:v>490</c:v>
                </c:pt>
              </c:numCache>
            </c:numRef>
          </c:val>
        </c:ser>
        <c:ser>
          <c:idx val="2"/>
          <c:order val="2"/>
          <c:tx>
            <c:strRef>
              <c:f>Sheet1!$D$1</c:f>
              <c:strCache>
                <c:ptCount val="1"/>
                <c:pt idx="0">
                  <c:v>Total</c:v>
                </c:pt>
              </c:strCache>
            </c:strRef>
          </c:tx>
          <c:invertIfNegative val="0"/>
          <c:cat>
            <c:strRef>
              <c:f>Sheet1!$A$2:$A$5</c:f>
              <c:strCache>
                <c:ptCount val="3"/>
                <c:pt idx="0">
                  <c:v>T0</c:v>
                </c:pt>
                <c:pt idx="1">
                  <c:v>T6</c:v>
                </c:pt>
                <c:pt idx="2">
                  <c:v>T12</c:v>
                </c:pt>
              </c:strCache>
            </c:strRef>
          </c:cat>
          <c:val>
            <c:numRef>
              <c:f>Sheet1!$D$2:$D$5</c:f>
              <c:numCache>
                <c:formatCode>General</c:formatCode>
                <c:ptCount val="4"/>
                <c:pt idx="0">
                  <c:v>10</c:v>
                </c:pt>
                <c:pt idx="1">
                  <c:v>70</c:v>
                </c:pt>
                <c:pt idx="2">
                  <c:v>480</c:v>
                </c:pt>
              </c:numCache>
            </c:numRef>
          </c:val>
        </c:ser>
        <c:dLbls>
          <c:showLegendKey val="0"/>
          <c:showVal val="0"/>
          <c:showCatName val="0"/>
          <c:showSerName val="0"/>
          <c:showPercent val="0"/>
          <c:showBubbleSize val="0"/>
        </c:dLbls>
        <c:gapWidth val="150"/>
        <c:axId val="13105832"/>
        <c:axId val="13107792"/>
      </c:barChart>
      <c:catAx>
        <c:axId val="13105832"/>
        <c:scaling>
          <c:orientation val="minMax"/>
        </c:scaling>
        <c:delete val="0"/>
        <c:axPos val="b"/>
        <c:numFmt formatCode="General" sourceLinked="0"/>
        <c:majorTickMark val="out"/>
        <c:minorTickMark val="none"/>
        <c:tickLblPos val="nextTo"/>
        <c:crossAx val="13107792"/>
        <c:crosses val="autoZero"/>
        <c:auto val="1"/>
        <c:lblAlgn val="ctr"/>
        <c:lblOffset val="100"/>
        <c:noMultiLvlLbl val="0"/>
      </c:catAx>
      <c:valAx>
        <c:axId val="13107792"/>
        <c:scaling>
          <c:orientation val="minMax"/>
        </c:scaling>
        <c:delete val="0"/>
        <c:axPos val="l"/>
        <c:majorGridlines/>
        <c:numFmt formatCode="General" sourceLinked="1"/>
        <c:majorTickMark val="out"/>
        <c:minorTickMark val="none"/>
        <c:tickLblPos val="nextTo"/>
        <c:crossAx val="1310583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17</Pages>
  <Words>2862</Words>
  <Characters>16314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HP</cp:lastModifiedBy>
  <cp:revision>196</cp:revision>
  <dcterms:created xsi:type="dcterms:W3CDTF">2020-12-02T05:20:00Z</dcterms:created>
  <dcterms:modified xsi:type="dcterms:W3CDTF">2020-12-02T13:04:00Z</dcterms:modified>
</cp:coreProperties>
</file>